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CF3B" w14:textId="35D31A88" w:rsidR="001D08AE" w:rsidRDefault="001D08AE">
      <w:r w:rsidRPr="001D08AE">
        <w:t>Informe de los Auditores Independientes</w:t>
      </w:r>
    </w:p>
    <w:p w14:paraId="64F39D0D" w14:textId="77777777" w:rsidR="001D08AE" w:rsidRDefault="001D08AE"/>
    <w:p w14:paraId="67A5912F" w14:textId="104C8949" w:rsidR="001D08AE" w:rsidRDefault="001D08AE">
      <w:pPr>
        <w:rPr>
          <w:b/>
          <w:bCs/>
        </w:rPr>
      </w:pPr>
      <w:r>
        <w:t xml:space="preserve">Al </w:t>
      </w:r>
      <w:r w:rsidRPr="00113BC0">
        <w:rPr>
          <w:highlight w:val="blue"/>
        </w:rPr>
        <w:t>consejo directivo</w:t>
      </w:r>
      <w:r>
        <w:t xml:space="preserve"> y accionistas de la </w:t>
      </w:r>
      <w:r w:rsidRPr="001D08AE">
        <w:rPr>
          <w:b/>
          <w:bCs/>
          <w:highlight w:val="yellow"/>
        </w:rPr>
        <w:t>EMPRESA REGISTRADA, S.A. DE C.V.</w:t>
      </w:r>
    </w:p>
    <w:p w14:paraId="5EC65E6C" w14:textId="77777777" w:rsidR="001D08AE" w:rsidRDefault="001D08AE" w:rsidP="001D08AE">
      <w:r>
        <w:t xml:space="preserve">A la Secretaría de Hacienda y Crédito Público </w:t>
      </w:r>
    </w:p>
    <w:p w14:paraId="7CAA489A" w14:textId="453FA4BE" w:rsidR="001D08AE" w:rsidRDefault="001D08AE" w:rsidP="001D08AE">
      <w:r>
        <w:t>Al Servicio de Administración Tributaria (SAT)</w:t>
      </w:r>
    </w:p>
    <w:p w14:paraId="5484E5A5" w14:textId="752B0C79" w:rsidR="001D08AE" w:rsidRDefault="001D08AE" w:rsidP="001D08AE">
      <w:r w:rsidRPr="001D08AE">
        <w:t>A la Administración Desconcentrada de Auditoría Fiscal</w:t>
      </w:r>
      <w:r>
        <w:t xml:space="preserve"> </w:t>
      </w:r>
      <w:r w:rsidRPr="00A11F13">
        <w:rPr>
          <w:highlight w:val="green"/>
        </w:rPr>
        <w:t>ENTIDAD ##</w:t>
      </w:r>
    </w:p>
    <w:p w14:paraId="27F20F64" w14:textId="27D286FD" w:rsidR="001D08AE" w:rsidRDefault="001D08AE">
      <w:r>
        <w:t>Opinión no modificada (favorable)</w:t>
      </w:r>
    </w:p>
    <w:p w14:paraId="00B82CD4" w14:textId="77777777" w:rsidR="00D0575A" w:rsidRDefault="00D0575A"/>
    <w:p w14:paraId="71D48FF1" w14:textId="3662B958" w:rsidR="00D0575A" w:rsidRPr="00E367D2" w:rsidRDefault="00D0575A">
      <w:pPr>
        <w:rPr>
          <w:b/>
          <w:bCs/>
        </w:rPr>
      </w:pPr>
      <w:r w:rsidRPr="00E367D2">
        <w:rPr>
          <w:b/>
          <w:bCs/>
        </w:rPr>
        <w:t>Opinión</w:t>
      </w:r>
    </w:p>
    <w:p w14:paraId="143E0FF9" w14:textId="14476399" w:rsidR="00D0575A" w:rsidRDefault="00D0575A" w:rsidP="00546381">
      <w:pPr>
        <w:jc w:val="both"/>
      </w:pPr>
      <w:r>
        <w:t xml:space="preserve">Hemos auditado los estados financieros de la </w:t>
      </w:r>
      <w:r w:rsidR="00546381" w:rsidRPr="001D08AE">
        <w:rPr>
          <w:b/>
          <w:bCs/>
          <w:highlight w:val="yellow"/>
        </w:rPr>
        <w:t>EMPRESA REGISTRADA, S.A. DE C.V.</w:t>
      </w:r>
      <w:r>
        <w:t xml:space="preserve"> (la Compañía), que comprenden el estado de situación financiera al 31 de diciembre de 20</w:t>
      </w:r>
      <w:r w:rsidR="00546381">
        <w:t>25</w:t>
      </w:r>
      <w:r>
        <w:t xml:space="preserve"> y los estados de resultado integral, de cambios en el capital contable y de flujos de efectivo correspondientes al ejercicio que terminó en esa fecha, así como las notas a los estados financieros, que abarcan de la nota</w:t>
      </w:r>
      <w:r w:rsidR="00546381">
        <w:t>s</w:t>
      </w:r>
      <w:r>
        <w:t xml:space="preserve"> </w:t>
      </w:r>
      <w:r w:rsidR="00546381">
        <w:t>explicativas a los estados financieros</w:t>
      </w:r>
      <w:r>
        <w:t xml:space="preserve"> que comprenden el resumen de las políticas contables importantes y otra información explicativa.</w:t>
      </w:r>
    </w:p>
    <w:p w14:paraId="0BD3B34E" w14:textId="6C930287" w:rsidR="00D0575A" w:rsidRDefault="00546381" w:rsidP="002E77C7">
      <w:pPr>
        <w:jc w:val="both"/>
      </w:pPr>
      <w:r>
        <w:t xml:space="preserve">En nuestra opinión, los estados financieros adjuntos, que se describen en el párrafo anterior, están preparados, en todos los aspectos materiales, de conformidad con </w:t>
      </w:r>
      <w:r w:rsidR="002E77C7">
        <w:t>las Normas de Información Financiera Mexicanas (NIF)</w:t>
      </w:r>
      <w:r>
        <w:t xml:space="preserve"> </w:t>
      </w:r>
      <w:r w:rsidR="00913CE1">
        <w:t xml:space="preserve">aplicables </w:t>
      </w:r>
      <w:r>
        <w:t xml:space="preserve">que se indican en </w:t>
      </w:r>
      <w:r w:rsidR="002E77C7">
        <w:t>las notas explicativas</w:t>
      </w:r>
      <w:r>
        <w:t xml:space="preserve"> a los estados financieros</w:t>
      </w:r>
      <w:r w:rsidR="002E77C7">
        <w:t>.</w:t>
      </w:r>
    </w:p>
    <w:p w14:paraId="495B9755" w14:textId="77777777" w:rsidR="002E77C7" w:rsidRDefault="002E77C7" w:rsidP="002E77C7">
      <w:pPr>
        <w:jc w:val="both"/>
      </w:pPr>
    </w:p>
    <w:p w14:paraId="203EEFF7" w14:textId="50AECBCD" w:rsidR="002E77C7" w:rsidRPr="00E367D2" w:rsidRDefault="002E77C7" w:rsidP="002E77C7">
      <w:pPr>
        <w:jc w:val="both"/>
        <w:rPr>
          <w:b/>
          <w:bCs/>
        </w:rPr>
      </w:pPr>
      <w:r w:rsidRPr="00E367D2">
        <w:rPr>
          <w:b/>
          <w:bCs/>
        </w:rPr>
        <w:t>Fundamento de la Opinión</w:t>
      </w:r>
    </w:p>
    <w:p w14:paraId="2883E786" w14:textId="281C8E56" w:rsidR="002E77C7" w:rsidRDefault="002E77C7" w:rsidP="002E77C7">
      <w:pPr>
        <w:jc w:val="both"/>
      </w:pPr>
      <w:r>
        <w:t>Hemos llevado a cabo nuestra auditoría de conformidad con las Normas Internacionales de Auditoría</w:t>
      </w:r>
      <w:r w:rsidR="00E367D2">
        <w:t xml:space="preserve"> </w:t>
      </w:r>
      <w:r>
        <w:t>(NIA). Nuestras responsabilidades de acuerdo con dichas normas se describen más adelante en la</w:t>
      </w:r>
      <w:r w:rsidR="00E367D2">
        <w:t xml:space="preserve"> </w:t>
      </w:r>
      <w:r>
        <w:t>sección “Responsabilidades de los Auditores en relación con la Auditoría de los Estados Financieros” de este informe. Somos independientes de la Compañía, de conformidad con el Código de Ética Profesional de la Federación Nacional de la Asociación Mexicana de Colegios de Contadores Públicos, A.C., junto con los requerimientos de ética que son aplicables a nuestras auditorías de estados financieros en México, y hemos cumplido con las demás responsabilidades éticas, de conformidad con esos requerimientos y con el Código de Ética Profesional.</w:t>
      </w:r>
    </w:p>
    <w:p w14:paraId="2D6622CB" w14:textId="45863A2E" w:rsidR="002E77C7" w:rsidRDefault="002E77C7" w:rsidP="002E77C7">
      <w:pPr>
        <w:jc w:val="both"/>
      </w:pPr>
      <w:r>
        <w:t>Consideramos que la evidencia de auditoría que hemos obtenido proporciona una base suficiente y</w:t>
      </w:r>
      <w:r w:rsidR="00E367D2">
        <w:t xml:space="preserve"> </w:t>
      </w:r>
      <w:r>
        <w:t>adecuada para nuestra opinión.</w:t>
      </w:r>
    </w:p>
    <w:p w14:paraId="53223521" w14:textId="77777777" w:rsidR="00E367D2" w:rsidRDefault="00E367D2" w:rsidP="002E77C7">
      <w:pPr>
        <w:jc w:val="both"/>
      </w:pPr>
    </w:p>
    <w:p w14:paraId="7F8594FE" w14:textId="640CA579" w:rsidR="00113BC0" w:rsidRPr="00113BC0" w:rsidRDefault="00113BC0" w:rsidP="002E77C7">
      <w:pPr>
        <w:jc w:val="both"/>
        <w:rPr>
          <w:b/>
          <w:bCs/>
        </w:rPr>
      </w:pPr>
      <w:r w:rsidRPr="00113BC0">
        <w:rPr>
          <w:b/>
          <w:bCs/>
        </w:rPr>
        <w:t>Otra Información – Información de Sostenibilidad</w:t>
      </w:r>
    </w:p>
    <w:p w14:paraId="11BCEE20" w14:textId="641B0343" w:rsidR="00113BC0" w:rsidRDefault="00113BC0" w:rsidP="00113BC0">
      <w:pPr>
        <w:jc w:val="both"/>
      </w:pPr>
      <w:r>
        <w:t>Nuestra opinión sobre los estados financieros no cubre la información de sostenibilidad y no expresamos ninguna forma de conclusión que proporcione un grado de seguridad sobre esta.</w:t>
      </w:r>
    </w:p>
    <w:p w14:paraId="24D609C4" w14:textId="44737AB7" w:rsidR="00113BC0" w:rsidRDefault="00113BC0" w:rsidP="00113BC0">
      <w:pPr>
        <w:jc w:val="both"/>
      </w:pPr>
      <w:r>
        <w:lastRenderedPageBreak/>
        <w:t>Las normas de información de sostenibilidad (NIS A1 y NIS B1) entraron en vigor el 1 de enero de 2025, la primera presentación se realizará en 2026 con información correspondiente al ejercicio 2025.</w:t>
      </w:r>
    </w:p>
    <w:p w14:paraId="62BF008C" w14:textId="77777777" w:rsidR="00113BC0" w:rsidRDefault="00113BC0" w:rsidP="00113BC0">
      <w:pPr>
        <w:jc w:val="both"/>
      </w:pPr>
    </w:p>
    <w:p w14:paraId="0764E2C1" w14:textId="1B3A4D6E" w:rsidR="00113BC0" w:rsidRPr="00113BC0" w:rsidRDefault="00113BC0" w:rsidP="00113BC0">
      <w:pPr>
        <w:jc w:val="both"/>
        <w:rPr>
          <w:b/>
          <w:bCs/>
        </w:rPr>
      </w:pPr>
      <w:r w:rsidRPr="00113BC0">
        <w:rPr>
          <w:b/>
          <w:bCs/>
        </w:rPr>
        <w:t>Responsabilidad de</w:t>
      </w:r>
      <w:r w:rsidR="000832D8">
        <w:rPr>
          <w:b/>
          <w:bCs/>
        </w:rPr>
        <w:t xml:space="preserve"> </w:t>
      </w:r>
      <w:r w:rsidRPr="00113BC0">
        <w:rPr>
          <w:b/>
          <w:bCs/>
        </w:rPr>
        <w:t>l</w:t>
      </w:r>
      <w:r w:rsidR="000832D8">
        <w:rPr>
          <w:b/>
          <w:bCs/>
        </w:rPr>
        <w:t>a</w:t>
      </w:r>
      <w:r w:rsidRPr="00113BC0">
        <w:rPr>
          <w:b/>
          <w:bCs/>
        </w:rPr>
        <w:t xml:space="preserve"> </w:t>
      </w:r>
      <w:r w:rsidR="00183DF9">
        <w:rPr>
          <w:b/>
          <w:bCs/>
        </w:rPr>
        <w:t>administración</w:t>
      </w:r>
      <w:r w:rsidRPr="00113BC0">
        <w:rPr>
          <w:b/>
          <w:bCs/>
        </w:rPr>
        <w:t xml:space="preserve"> en relación con los estados financieros.</w:t>
      </w:r>
    </w:p>
    <w:p w14:paraId="2677083D" w14:textId="6B815687" w:rsidR="00113BC0" w:rsidRDefault="00B54916" w:rsidP="00B54916">
      <w:pPr>
        <w:jc w:val="both"/>
      </w:pPr>
      <w:r>
        <w:t>La dirección es responsable de la preparación y presentación fiel de los estados financieros adjuntos de conformidad con las Normas Internacionales de Información Financiera, y del control interno que la dirección considere necesario para permitir la preparación de estados financieros libres de incorrección material, debida a fraude o error.</w:t>
      </w:r>
    </w:p>
    <w:p w14:paraId="40359587" w14:textId="77777777" w:rsidR="00113BC0" w:rsidRDefault="00113BC0" w:rsidP="00113BC0">
      <w:pPr>
        <w:jc w:val="both"/>
      </w:pPr>
    </w:p>
    <w:p w14:paraId="55996A57" w14:textId="76800607" w:rsidR="001C2392" w:rsidRPr="001C2392" w:rsidRDefault="009D531F" w:rsidP="00113BC0">
      <w:pPr>
        <w:jc w:val="both"/>
        <w:rPr>
          <w:b/>
          <w:bCs/>
        </w:rPr>
      </w:pPr>
      <w:r w:rsidRPr="009D531F">
        <w:rPr>
          <w:b/>
          <w:bCs/>
        </w:rPr>
        <w:t>Responsabilidades del auditor en relación con la auditoría de los estados financieros</w:t>
      </w:r>
      <w:r w:rsidR="001C2392" w:rsidRPr="001C2392">
        <w:rPr>
          <w:b/>
          <w:bCs/>
        </w:rPr>
        <w:t>.</w:t>
      </w:r>
    </w:p>
    <w:p w14:paraId="74C3F085" w14:textId="130D5643" w:rsidR="001C2392" w:rsidRDefault="00A11F13" w:rsidP="00A11F13">
      <w:pPr>
        <w:jc w:val="both"/>
      </w:pPr>
      <w:r>
        <w:t>Nuestros objetivos son obtener una seguridad razonable de que los estados financieros en su conjunto están libres de incorrección material, debido a fraude o error, y emitir un informe de auditoría que contiene nuestra opinión. Seguridad razonable es un alto grado de seguridad, pero no garantiza que una auditoría realizada de conformidad con las NIA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w:t>
      </w:r>
    </w:p>
    <w:p w14:paraId="02D18973" w14:textId="1F4F8532" w:rsidR="00113BC0" w:rsidRDefault="00A11F13" w:rsidP="00A11F13">
      <w:pPr>
        <w:jc w:val="both"/>
      </w:pPr>
      <w:r>
        <w:t>Como parte de una auditoría, de conformidad con las NIA, aplicamos nuestros juicios profesionales y mantenemos una actitud de escepticismo profesional durante toda la auditoría. También:</w:t>
      </w:r>
    </w:p>
    <w:p w14:paraId="7A5571B9" w14:textId="04D6D5E8" w:rsidR="00A11F13" w:rsidRDefault="00A11F13" w:rsidP="00A11F13">
      <w:pPr>
        <w:pStyle w:val="Prrafodelista"/>
        <w:numPr>
          <w:ilvl w:val="0"/>
          <w:numId w:val="1"/>
        </w:numPr>
        <w:jc w:val="both"/>
      </w:pPr>
      <w:r>
        <w:t>Identificamos y valoramos los riesgos de incorrección material en los estados financieros, debido a fraude o error, diseñamos y aplicamos procedimientos de auditoría para responder a estos riesgos y obtenemos evidencia de auditoría suficiente y adecuada para proporcionar una base para nuestra opinión. El riesgo de no detectar una incorrección material resultante de fraude es mayor que de aquella resultante de un error, ya que el fraude involucra colusión, falsificación, omisiones intencionales, distorsión, o anulación del control interno.</w:t>
      </w:r>
    </w:p>
    <w:p w14:paraId="58906CB3" w14:textId="65947CCF" w:rsidR="00A11F13" w:rsidRDefault="00A11F13" w:rsidP="00A11F13">
      <w:pPr>
        <w:pStyle w:val="Prrafodelista"/>
        <w:numPr>
          <w:ilvl w:val="0"/>
          <w:numId w:val="1"/>
        </w:numPr>
        <w:jc w:val="both"/>
      </w:pPr>
      <w:r>
        <w:t>Obtenemos un entendimiento del control interno relevante para la auditoría, con el fin de diseñar procedimientos de auditoría que sean adecuados en función de las circunstancias, y no con la finalidad de expresar una opinión sobre la eficacia del control interno de la Compañía.</w:t>
      </w:r>
    </w:p>
    <w:p w14:paraId="65616BF6" w14:textId="5548E617" w:rsidR="00A11F13" w:rsidRDefault="00A11F13" w:rsidP="00A11F13">
      <w:pPr>
        <w:pStyle w:val="Prrafodelista"/>
        <w:numPr>
          <w:ilvl w:val="0"/>
          <w:numId w:val="1"/>
        </w:numPr>
        <w:jc w:val="both"/>
      </w:pPr>
      <w:r>
        <w:t>Evaluamos lo adecuado de las políticas contables aplicadas y la razonabilidad de las estimaciones contables y de las revelaciones relativas presentadas por la Administración.</w:t>
      </w:r>
    </w:p>
    <w:p w14:paraId="403260BB" w14:textId="3E7FB5B1" w:rsidR="00A11F13" w:rsidRDefault="00A11F13" w:rsidP="00A11F13">
      <w:pPr>
        <w:pStyle w:val="Prrafodelista"/>
        <w:numPr>
          <w:ilvl w:val="0"/>
          <w:numId w:val="1"/>
        </w:numPr>
        <w:jc w:val="both"/>
      </w:pPr>
      <w:r>
        <w:t xml:space="preserve">Concluimos sobre lo adecuado de la utilización por parte de la Administración de la base contable de negocio en marcha y, basándonos en la evidencia de auditoría obtenida, concluimos sobre si existe o no incertidumbre importante con base en hechos o condiciones que puedan generar dudas significativas sobre la capacidad de la Compañía para continuar como negocio en marcha. Si concluimos que existe una incertidumbre importante, se requiere que llamemos la atención en nuestro informe de auditoría sobre la correspondiente información revelada en los estados financieros o, si dichas revelaciones no son adecuadas, que expresemos una opinión modificada. Nuestras conclusiones se basan </w:t>
      </w:r>
      <w:r>
        <w:lastRenderedPageBreak/>
        <w:t>en la evidencia de auditoría obtenida hasta la fecha de nuestro informe de auditoría. Sin embargo, hechos o condiciones futuros pueden ser causa de que la Compañía deje de ser un negocio en marcha.</w:t>
      </w:r>
    </w:p>
    <w:p w14:paraId="330DFBB6" w14:textId="4D8AF853" w:rsidR="00A11F13" w:rsidRDefault="00A11F13" w:rsidP="00A11F13">
      <w:pPr>
        <w:pStyle w:val="Prrafodelista"/>
        <w:numPr>
          <w:ilvl w:val="0"/>
          <w:numId w:val="1"/>
        </w:numPr>
        <w:jc w:val="both"/>
      </w:pPr>
      <w:r>
        <w:t>Evaluamos en su conjunto, la presentación, la estructura y el contenido de los estados financieros, incluida la información revelada, y si los estados financieros presentan las transacciones y hechos subyacentes de un modo que logran la presentación razonable.</w:t>
      </w:r>
    </w:p>
    <w:p w14:paraId="0C788A3F" w14:textId="77777777" w:rsidR="00A11F13" w:rsidRDefault="00A11F13" w:rsidP="00A11F13">
      <w:pPr>
        <w:ind w:left="360"/>
        <w:jc w:val="both"/>
      </w:pPr>
    </w:p>
    <w:p w14:paraId="2250ECE9" w14:textId="2C531059" w:rsidR="00A11F13" w:rsidRDefault="00A11F13" w:rsidP="00A11F13">
      <w:pPr>
        <w:ind w:left="360"/>
        <w:jc w:val="both"/>
      </w:pPr>
      <w:r>
        <w:t>Nos comunicamos con los responsables del gobierno de la entidad en relación, entre otras cuestiones, con el alcance y el cronograma planificados de la auditoría y los hallazgos de auditoría significativos que identificamos durante nuestra auditoría.</w:t>
      </w:r>
    </w:p>
    <w:p w14:paraId="648DE2DF" w14:textId="77777777" w:rsidR="00A11F13" w:rsidRDefault="00A11F13" w:rsidP="00A11F13">
      <w:pPr>
        <w:ind w:left="360"/>
        <w:jc w:val="both"/>
      </w:pPr>
    </w:p>
    <w:p w14:paraId="4827D046" w14:textId="7E1A2855" w:rsidR="00A11F13" w:rsidRDefault="000832D8" w:rsidP="00A11F13">
      <w:pPr>
        <w:ind w:left="360"/>
        <w:jc w:val="both"/>
      </w:pPr>
      <w:r>
        <w:t>Nombre de la firma de auditoria</w:t>
      </w:r>
    </w:p>
    <w:p w14:paraId="7157D37A" w14:textId="21AE31EF" w:rsidR="000832D8" w:rsidRDefault="000832D8" w:rsidP="00A11F13">
      <w:pPr>
        <w:ind w:left="360"/>
        <w:jc w:val="both"/>
      </w:pPr>
      <w:r>
        <w:t xml:space="preserve">Nombre </w:t>
      </w:r>
      <w:r w:rsidR="007F7FF3">
        <w:t xml:space="preserve">y firma </w:t>
      </w:r>
      <w:r>
        <w:t>del auditor</w:t>
      </w:r>
    </w:p>
    <w:p w14:paraId="4BAF9C19" w14:textId="4DAE0D08" w:rsidR="000832D8" w:rsidRDefault="000832D8" w:rsidP="00A11F13">
      <w:pPr>
        <w:ind w:left="360"/>
        <w:jc w:val="both"/>
      </w:pPr>
      <w:r>
        <w:t>Fecha</w:t>
      </w:r>
      <w:r w:rsidR="007F7FF3">
        <w:t xml:space="preserve"> del informe</w:t>
      </w:r>
    </w:p>
    <w:sectPr w:rsidR="000832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E63AF"/>
    <w:multiLevelType w:val="hybridMultilevel"/>
    <w:tmpl w:val="1D744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8936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AE"/>
    <w:rsid w:val="000832D8"/>
    <w:rsid w:val="00113BC0"/>
    <w:rsid w:val="00183DF9"/>
    <w:rsid w:val="001C2392"/>
    <w:rsid w:val="001D08AE"/>
    <w:rsid w:val="00240996"/>
    <w:rsid w:val="002E77C7"/>
    <w:rsid w:val="00335015"/>
    <w:rsid w:val="00546381"/>
    <w:rsid w:val="005670D1"/>
    <w:rsid w:val="005849E7"/>
    <w:rsid w:val="007F7FF3"/>
    <w:rsid w:val="00913CE1"/>
    <w:rsid w:val="00984BBC"/>
    <w:rsid w:val="009D531F"/>
    <w:rsid w:val="00A11F13"/>
    <w:rsid w:val="00AC0224"/>
    <w:rsid w:val="00B54916"/>
    <w:rsid w:val="00B651C5"/>
    <w:rsid w:val="00D0575A"/>
    <w:rsid w:val="00E3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CEFF"/>
  <w15:chartTrackingRefBased/>
  <w15:docId w15:val="{88ED10D5-CDF0-4910-8E21-BE6461C5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D0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D08A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D08A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D08A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D08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8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8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8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8A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D08A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D08A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D08A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D08A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D08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8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8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8AE"/>
    <w:rPr>
      <w:rFonts w:eastAsiaTheme="majorEastAsia" w:cstheme="majorBidi"/>
      <w:color w:val="272727" w:themeColor="text1" w:themeTint="D8"/>
    </w:rPr>
  </w:style>
  <w:style w:type="paragraph" w:styleId="Ttulo">
    <w:name w:val="Title"/>
    <w:basedOn w:val="Normal"/>
    <w:next w:val="Normal"/>
    <w:link w:val="TtuloCar"/>
    <w:uiPriority w:val="10"/>
    <w:qFormat/>
    <w:rsid w:val="001D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8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8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8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8AE"/>
    <w:pPr>
      <w:spacing w:before="160"/>
      <w:jc w:val="center"/>
    </w:pPr>
    <w:rPr>
      <w:i/>
      <w:iCs/>
      <w:color w:val="404040" w:themeColor="text1" w:themeTint="BF"/>
    </w:rPr>
  </w:style>
  <w:style w:type="character" w:customStyle="1" w:styleId="CitaCar">
    <w:name w:val="Cita Car"/>
    <w:basedOn w:val="Fuentedeprrafopredeter"/>
    <w:link w:val="Cita"/>
    <w:uiPriority w:val="29"/>
    <w:rsid w:val="001D08AE"/>
    <w:rPr>
      <w:i/>
      <w:iCs/>
      <w:color w:val="404040" w:themeColor="text1" w:themeTint="BF"/>
    </w:rPr>
  </w:style>
  <w:style w:type="paragraph" w:styleId="Prrafodelista">
    <w:name w:val="List Paragraph"/>
    <w:basedOn w:val="Normal"/>
    <w:uiPriority w:val="34"/>
    <w:qFormat/>
    <w:rsid w:val="001D08AE"/>
    <w:pPr>
      <w:ind w:left="720"/>
      <w:contextualSpacing/>
    </w:pPr>
  </w:style>
  <w:style w:type="character" w:styleId="nfasisintenso">
    <w:name w:val="Intense Emphasis"/>
    <w:basedOn w:val="Fuentedeprrafopredeter"/>
    <w:uiPriority w:val="21"/>
    <w:qFormat/>
    <w:rsid w:val="001D08AE"/>
    <w:rPr>
      <w:i/>
      <w:iCs/>
      <w:color w:val="2F5496" w:themeColor="accent1" w:themeShade="BF"/>
    </w:rPr>
  </w:style>
  <w:style w:type="paragraph" w:styleId="Citadestacada">
    <w:name w:val="Intense Quote"/>
    <w:basedOn w:val="Normal"/>
    <w:next w:val="Normal"/>
    <w:link w:val="CitadestacadaCar"/>
    <w:uiPriority w:val="30"/>
    <w:qFormat/>
    <w:rsid w:val="001D0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D08AE"/>
    <w:rPr>
      <w:i/>
      <w:iCs/>
      <w:color w:val="2F5496" w:themeColor="accent1" w:themeShade="BF"/>
    </w:rPr>
  </w:style>
  <w:style w:type="character" w:styleId="Referenciaintensa">
    <w:name w:val="Intense Reference"/>
    <w:basedOn w:val="Fuentedeprrafopredeter"/>
    <w:uiPriority w:val="32"/>
    <w:qFormat/>
    <w:rsid w:val="001D0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3</Pages>
  <Words>968</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2026-04-13T18:04:00Z</dcterms:created>
  <dcterms:modified xsi:type="dcterms:W3CDTF">2026-04-14T04:58:00Z</dcterms:modified>
</cp:coreProperties>
</file>